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5DCD" w14:textId="77777777" w:rsidR="006505C9" w:rsidRPr="003F67FE" w:rsidRDefault="006505C9" w:rsidP="006505C9">
      <w:pPr>
        <w:shd w:val="clear" w:color="auto" w:fill="EFEFF1"/>
        <w:spacing w:before="120" w:after="120" w:line="270" w:lineRule="atLeast"/>
        <w:jc w:val="both"/>
        <w:rPr>
          <w:rFonts w:ascii="Arial" w:eastAsia="Times New Roman" w:hAnsi="Arial" w:cs="Arial"/>
          <w:color w:val="333333"/>
          <w:sz w:val="18"/>
          <w:szCs w:val="18"/>
        </w:rPr>
      </w:pPr>
    </w:p>
    <w:p w14:paraId="76BA291B" w14:textId="77777777" w:rsidR="006505C9" w:rsidRPr="003F67FE" w:rsidRDefault="006505C9" w:rsidP="006505C9">
      <w:pPr>
        <w:shd w:val="clear" w:color="auto" w:fill="EFEFF1"/>
        <w:spacing w:before="120" w:after="120" w:line="270" w:lineRule="atLeast"/>
        <w:jc w:val="center"/>
        <w:rPr>
          <w:rFonts w:ascii="Arial" w:eastAsia="Times New Roman" w:hAnsi="Arial" w:cs="Arial"/>
          <w:color w:val="333333"/>
          <w:sz w:val="18"/>
          <w:szCs w:val="18"/>
        </w:rPr>
      </w:pPr>
      <w:r w:rsidRPr="003F67FE">
        <w:rPr>
          <w:rFonts w:ascii="Arial" w:eastAsia="Times New Roman" w:hAnsi="Arial" w:cs="Arial"/>
          <w:b/>
          <w:bCs/>
          <w:color w:val="0070C0"/>
          <w:sz w:val="32"/>
          <w:szCs w:val="32"/>
        </w:rPr>
        <w:t>Acte necesare pentru acordarea ajutoarelor pentru încălzirea locuinţei</w:t>
      </w:r>
    </w:p>
    <w:p w14:paraId="5EC7F462" w14:textId="77777777" w:rsidR="006505C9" w:rsidRPr="003F67FE" w:rsidRDefault="006505C9" w:rsidP="006505C9">
      <w:pPr>
        <w:shd w:val="clear" w:color="auto" w:fill="EFEFF1"/>
        <w:spacing w:before="120" w:after="120" w:line="270" w:lineRule="atLeast"/>
        <w:rPr>
          <w:rFonts w:ascii="Arial" w:eastAsia="Times New Roman" w:hAnsi="Arial" w:cs="Arial"/>
          <w:color w:val="333333"/>
          <w:sz w:val="18"/>
          <w:szCs w:val="18"/>
        </w:rPr>
      </w:pPr>
      <w:r w:rsidRPr="003F67FE">
        <w:rPr>
          <w:rFonts w:ascii="Arial" w:eastAsia="Times New Roman" w:hAnsi="Arial" w:cs="Arial"/>
          <w:b/>
          <w:bCs/>
          <w:color w:val="333333"/>
          <w:sz w:val="24"/>
          <w:szCs w:val="24"/>
        </w:rPr>
        <w:t>1)</w:t>
      </w:r>
      <w:r w:rsidRPr="003F67FE">
        <w:rPr>
          <w:rFonts w:ascii="Arial" w:eastAsia="Times New Roman" w:hAnsi="Arial" w:cs="Arial"/>
          <w:color w:val="333333"/>
          <w:sz w:val="24"/>
          <w:szCs w:val="24"/>
        </w:rPr>
        <w:t> Cerere şi declaraţie pe propria răspundere pentru acordarea unor drepturi de asistenţă socială; Anexa 1 la HG. 559/2017 </w:t>
      </w:r>
      <w:r w:rsidRPr="003F67FE">
        <w:rPr>
          <w:rFonts w:ascii="Arial" w:eastAsia="Times New Roman" w:hAnsi="Arial" w:cs="Arial"/>
          <w:noProof/>
          <w:color w:val="243F6B"/>
          <w:sz w:val="24"/>
          <w:szCs w:val="24"/>
        </w:rPr>
        <w:drawing>
          <wp:inline distT="0" distB="0" distL="0" distR="0" wp14:anchorId="12D22D40" wp14:editId="241EA0F5">
            <wp:extent cx="733425" cy="209550"/>
            <wp:effectExtent l="0" t="0" r="9525" b="0"/>
            <wp:docPr id="6" name="Imagine 6" descr="dow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3F67FE">
        <w:rPr>
          <w:rFonts w:ascii="Arial" w:eastAsia="Times New Roman" w:hAnsi="Arial" w:cs="Arial"/>
          <w:color w:val="333333"/>
          <w:sz w:val="18"/>
          <w:szCs w:val="18"/>
        </w:rPr>
        <w:br/>
      </w:r>
      <w:r w:rsidRPr="003F67FE">
        <w:rPr>
          <w:rFonts w:ascii="Arial" w:eastAsia="Times New Roman" w:hAnsi="Arial" w:cs="Arial"/>
          <w:b/>
          <w:bCs/>
          <w:color w:val="333333"/>
          <w:sz w:val="24"/>
          <w:szCs w:val="24"/>
        </w:rPr>
        <w:t>2)</w:t>
      </w:r>
      <w:r w:rsidRPr="003F67FE">
        <w:rPr>
          <w:rFonts w:ascii="Arial" w:eastAsia="Times New Roman" w:hAnsi="Arial" w:cs="Arial"/>
          <w:color w:val="333333"/>
          <w:sz w:val="24"/>
          <w:szCs w:val="24"/>
        </w:rPr>
        <w:t> Actele de identitate ale solicitantului şi ale membrilor familiei</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copii după BI-CI;</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certificatele de naştere ale copiilor;</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certificatul de căsătorie;</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hotărârea definitivă de încuviinţare a adopţiei, de plasament familial al minorului, potrivit legii;</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actul din care să rezulte calitatea solicitantului de tutore sau curator.</w:t>
      </w:r>
      <w:r w:rsidRPr="003F67FE">
        <w:rPr>
          <w:rFonts w:ascii="Arial" w:eastAsia="Times New Roman" w:hAnsi="Arial" w:cs="Arial"/>
          <w:color w:val="333333"/>
          <w:sz w:val="18"/>
          <w:szCs w:val="18"/>
        </w:rPr>
        <w:br/>
      </w:r>
      <w:r w:rsidRPr="003F67FE">
        <w:rPr>
          <w:rFonts w:ascii="Arial" w:eastAsia="Times New Roman" w:hAnsi="Arial" w:cs="Arial"/>
          <w:b/>
          <w:bCs/>
          <w:color w:val="333333"/>
          <w:sz w:val="24"/>
          <w:szCs w:val="24"/>
        </w:rPr>
        <w:t>3)</w:t>
      </w:r>
      <w:r w:rsidRPr="003F67FE">
        <w:rPr>
          <w:rFonts w:ascii="Arial" w:eastAsia="Times New Roman" w:hAnsi="Arial" w:cs="Arial"/>
          <w:color w:val="333333"/>
          <w:sz w:val="24"/>
          <w:szCs w:val="24"/>
        </w:rPr>
        <w:t> Acte de venit:</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La stabilirea venitului mediu net lunar pe membru de familie se iau în considerare veniturile pe care membrii acesteia le realizează sau, după caz, le-au realizat în luna anterioară solicitării dreptului (de exemplu cerere depusa in luna octombrie 2017 va fi completata cu veniturile aferente lunii septembrie, cererea care va fi depusă în luna noiembrie va fi completată cu veniturile aferente lunii octombrie).</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Categoriile de venituri nete realizate şi actele doveditoare sunt cele menţionate în formularul de cerere:</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drepturi provenite din salarii (salar net cu menţiunea dacă beneficiază sau nu de bonuri de masă, precum şi suma corespunyătoare), sau activitaţi independente;</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indemniţii de şomaj, pensii, indemnizaţii speciale, indemnizaţia-stimulentul pentru cresterea copilului, indemnizaţia lunară pentru persoanele cu handicap, venituri din dobânzi, venituri din activităţi agricole, alte drepturi etc;</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veniturile obţinute din dobânzi.</w:t>
      </w:r>
      <w:r w:rsidRPr="003F67FE">
        <w:rPr>
          <w:rFonts w:ascii="Arial" w:eastAsia="Times New Roman" w:hAnsi="Arial" w:cs="Arial"/>
          <w:color w:val="333333"/>
          <w:sz w:val="18"/>
          <w:szCs w:val="18"/>
        </w:rPr>
        <w:br/>
      </w:r>
      <w:r w:rsidRPr="003F67FE">
        <w:rPr>
          <w:rFonts w:ascii="Arial" w:eastAsia="Times New Roman" w:hAnsi="Arial" w:cs="Arial"/>
          <w:b/>
          <w:bCs/>
          <w:color w:val="333333"/>
          <w:sz w:val="24"/>
          <w:szCs w:val="24"/>
        </w:rPr>
        <w:t>4)</w:t>
      </w:r>
      <w:r w:rsidRPr="003F67FE">
        <w:rPr>
          <w:rFonts w:ascii="Arial" w:eastAsia="Times New Roman" w:hAnsi="Arial" w:cs="Arial"/>
          <w:color w:val="333333"/>
          <w:sz w:val="24"/>
          <w:szCs w:val="24"/>
        </w:rPr>
        <w:t> Acte de proprietate/chirie – copie xerox după actul de proprietate, ori actul de închiriere, comodat, folosinţă, pentru titular viza obligatorie pe buletin</w:t>
      </w:r>
    </w:p>
    <w:p w14:paraId="37F72BF1" w14:textId="77777777" w:rsidR="006505C9" w:rsidRPr="003F67FE" w:rsidRDefault="006505C9" w:rsidP="006505C9">
      <w:pPr>
        <w:shd w:val="clear" w:color="auto" w:fill="EFEFF1"/>
        <w:spacing w:before="120" w:after="120" w:line="270" w:lineRule="atLeast"/>
        <w:rPr>
          <w:rFonts w:ascii="Arial" w:eastAsia="Times New Roman" w:hAnsi="Arial" w:cs="Arial"/>
          <w:color w:val="333333"/>
          <w:sz w:val="18"/>
          <w:szCs w:val="18"/>
        </w:rPr>
      </w:pPr>
      <w:r w:rsidRPr="003F67FE">
        <w:rPr>
          <w:rFonts w:ascii="Arial" w:eastAsia="Times New Roman" w:hAnsi="Arial" w:cs="Arial"/>
          <w:b/>
          <w:bCs/>
          <w:color w:val="333333"/>
          <w:sz w:val="24"/>
          <w:szCs w:val="24"/>
        </w:rPr>
        <w:t>5)</w:t>
      </w:r>
      <w:r w:rsidRPr="003F67FE">
        <w:rPr>
          <w:rFonts w:ascii="Arial" w:eastAsia="Times New Roman" w:hAnsi="Arial" w:cs="Arial"/>
          <w:color w:val="333333"/>
          <w:sz w:val="24"/>
          <w:szCs w:val="24"/>
        </w:rPr>
        <w:t> Factura de la furnizorul de agent termic / gaz metan / energie electric cu codul client pentru ajutoarele de încălzirea locuinţei cu gaz metan, energie electrică, energie termică, pentru persoanele care au contract încheiat cu furnizorii. În cazul în care nu există contract încheiat decât cu asociaţia de proprietari sau locatari, se va completa cu codul de client al asociaţiei.</w:t>
      </w:r>
    </w:p>
    <w:p w14:paraId="205D9C50" w14:textId="77777777" w:rsidR="006505C9" w:rsidRPr="003F67FE" w:rsidRDefault="006505C9" w:rsidP="006505C9">
      <w:pPr>
        <w:shd w:val="clear" w:color="auto" w:fill="EFEFF1"/>
        <w:spacing w:before="120" w:after="120" w:line="270" w:lineRule="atLeast"/>
        <w:rPr>
          <w:rFonts w:ascii="Arial" w:eastAsia="Times New Roman" w:hAnsi="Arial" w:cs="Arial"/>
          <w:color w:val="333333"/>
          <w:sz w:val="18"/>
          <w:szCs w:val="18"/>
        </w:rPr>
      </w:pPr>
      <w:r w:rsidRPr="003F67FE">
        <w:rPr>
          <w:rFonts w:ascii="Arial" w:eastAsia="Times New Roman" w:hAnsi="Arial" w:cs="Arial"/>
          <w:color w:val="333333"/>
          <w:sz w:val="24"/>
          <w:szCs w:val="24"/>
        </w:rPr>
        <w:t>Obs. Studenţii întreţinuţi de părinţi şi care locuiesc separat de aceştia, nu îndeplinesc condiţiile de acordare a ajutorului, conform art.6 alin.1 lit.e din O.U.G. nr.70/2011.</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Copiii minori care locuiesc cu bunicii, iar părinţii locuiesc la alte adrese şi care nu contribuie la întreţinerea minorului, trebuie să aibă instituită măsura plasamentului sau a tutelei în favoarea bunicilor, altfel sunt consideraţi în întreţinerea părinţilor naturali, drept pentru care trebuie declarată şi suma în bani cu care aceştia contribuie la creşterea şi educarea lor.</w:t>
      </w:r>
    </w:p>
    <w:p w14:paraId="424261C9" w14:textId="7FBD6FDD" w:rsidR="006505C9" w:rsidRPr="003F67FE" w:rsidRDefault="006505C9" w:rsidP="006505C9">
      <w:pPr>
        <w:shd w:val="clear" w:color="auto" w:fill="EFEFF1"/>
        <w:spacing w:before="120" w:after="120" w:line="270" w:lineRule="atLeast"/>
        <w:rPr>
          <w:rFonts w:ascii="Arial" w:eastAsia="Times New Roman" w:hAnsi="Arial" w:cs="Arial"/>
          <w:color w:val="333333"/>
          <w:sz w:val="18"/>
          <w:szCs w:val="18"/>
        </w:rPr>
      </w:pPr>
      <w:r w:rsidRPr="003F67FE">
        <w:rPr>
          <w:rFonts w:ascii="Arial" w:eastAsia="Times New Roman" w:hAnsi="Arial" w:cs="Arial"/>
          <w:b/>
          <w:bCs/>
          <w:color w:val="333333"/>
          <w:sz w:val="24"/>
          <w:szCs w:val="24"/>
        </w:rPr>
        <w:t>Termen pentru depunere:</w:t>
      </w:r>
      <w:r w:rsidRPr="003F67FE">
        <w:rPr>
          <w:rFonts w:ascii="Arial" w:eastAsia="Times New Roman" w:hAnsi="Arial" w:cs="Arial"/>
          <w:color w:val="333333"/>
          <w:sz w:val="24"/>
          <w:szCs w:val="24"/>
        </w:rPr>
        <w:t xml:space="preserve"> până pe data de 20 a fiecărei luni la sediul </w:t>
      </w:r>
      <w:r w:rsidR="00E94E54">
        <w:rPr>
          <w:rFonts w:ascii="Arial" w:eastAsia="Times New Roman" w:hAnsi="Arial" w:cs="Arial"/>
          <w:color w:val="333333"/>
          <w:sz w:val="24"/>
          <w:szCs w:val="24"/>
          <w:lang w:val="ro-RO"/>
        </w:rPr>
        <w:t>UAT MĂRGINENI</w:t>
      </w:r>
      <w:r w:rsidRPr="003F67FE">
        <w:rPr>
          <w:rFonts w:ascii="Arial" w:eastAsia="Times New Roman" w:hAnsi="Arial" w:cs="Arial"/>
          <w:color w:val="333333"/>
          <w:sz w:val="24"/>
          <w:szCs w:val="24"/>
        </w:rPr>
        <w:t>, pentru a beneficia cu luna urmatoare ex: 20 noiembrie, pentru a se stabili dreptul cu luna noiembrie). Pentru solicitările primite după această dată, se va pierde o lună de la plată (ex: 21-30 noiembrie interval de depunere, dreptul se stabileşte cu luna decembrie)</w:t>
      </w:r>
    </w:p>
    <w:p w14:paraId="07AE22C1" w14:textId="77777777" w:rsidR="006505C9" w:rsidRPr="003F67FE" w:rsidRDefault="006505C9" w:rsidP="006505C9">
      <w:pPr>
        <w:shd w:val="clear" w:color="auto" w:fill="EFEFF1"/>
        <w:spacing w:before="120" w:after="120" w:line="270" w:lineRule="atLeast"/>
        <w:rPr>
          <w:rFonts w:ascii="Arial" w:eastAsia="Times New Roman" w:hAnsi="Arial" w:cs="Arial"/>
          <w:color w:val="333333"/>
          <w:sz w:val="18"/>
          <w:szCs w:val="18"/>
        </w:rPr>
      </w:pPr>
      <w:r w:rsidRPr="003F67FE">
        <w:rPr>
          <w:rFonts w:ascii="Arial" w:eastAsia="Times New Roman" w:hAnsi="Arial" w:cs="Arial"/>
          <w:color w:val="333333"/>
          <w:sz w:val="18"/>
          <w:szCs w:val="18"/>
        </w:rPr>
        <w:lastRenderedPageBreak/>
        <w:t> </w:t>
      </w:r>
    </w:p>
    <w:p w14:paraId="3E780B92" w14:textId="77777777" w:rsidR="006505C9" w:rsidRPr="003F67FE" w:rsidRDefault="006505C9" w:rsidP="006505C9">
      <w:pPr>
        <w:shd w:val="clear" w:color="auto" w:fill="EFEFF1"/>
        <w:spacing w:before="120" w:after="120" w:line="270" w:lineRule="atLeast"/>
        <w:jc w:val="center"/>
        <w:rPr>
          <w:rFonts w:ascii="Arial" w:eastAsia="Times New Roman" w:hAnsi="Arial" w:cs="Arial"/>
          <w:color w:val="333333"/>
          <w:sz w:val="18"/>
          <w:szCs w:val="18"/>
        </w:rPr>
      </w:pPr>
      <w:r w:rsidRPr="003F67FE">
        <w:rPr>
          <w:rFonts w:ascii="Arial" w:eastAsia="Times New Roman" w:hAnsi="Arial" w:cs="Arial"/>
          <w:b/>
          <w:bCs/>
          <w:color w:val="0070C0"/>
          <w:sz w:val="32"/>
          <w:szCs w:val="32"/>
        </w:rPr>
        <w:t>Obligaţiile beneficiarilor de ajutoare pentru încălzirea locuinţei</w:t>
      </w:r>
    </w:p>
    <w:p w14:paraId="1E60C87E" w14:textId="77777777" w:rsidR="006505C9" w:rsidRPr="003F67FE" w:rsidRDefault="006505C9" w:rsidP="00091434">
      <w:pPr>
        <w:shd w:val="clear" w:color="auto" w:fill="EFEFF1"/>
        <w:spacing w:before="120" w:after="120" w:line="270" w:lineRule="atLeast"/>
        <w:rPr>
          <w:rFonts w:ascii="Arial" w:eastAsia="Times New Roman" w:hAnsi="Arial" w:cs="Arial"/>
          <w:color w:val="333333"/>
          <w:sz w:val="18"/>
          <w:szCs w:val="18"/>
        </w:rPr>
      </w:pPr>
      <w:r w:rsidRPr="003F67FE">
        <w:rPr>
          <w:rFonts w:ascii="Arial" w:eastAsia="Times New Roman" w:hAnsi="Arial" w:cs="Arial"/>
          <w:color w:val="333333"/>
          <w:sz w:val="24"/>
          <w:szCs w:val="24"/>
        </w:rPr>
        <w:t>Obligaţiile beneficiarilor de ajutoare pentru încălzirea locuinţei:</w:t>
      </w:r>
    </w:p>
    <w:p w14:paraId="01F84532" w14:textId="1E77C840" w:rsidR="006505C9" w:rsidRPr="003F67FE" w:rsidRDefault="006505C9" w:rsidP="00091434">
      <w:pPr>
        <w:shd w:val="clear" w:color="auto" w:fill="EFEFF1"/>
        <w:spacing w:before="120" w:after="120" w:line="270" w:lineRule="atLeast"/>
        <w:rPr>
          <w:rFonts w:ascii="Arial" w:eastAsia="Times New Roman" w:hAnsi="Arial" w:cs="Arial"/>
          <w:color w:val="333333"/>
          <w:sz w:val="18"/>
          <w:szCs w:val="18"/>
        </w:rPr>
      </w:pPr>
      <w:r w:rsidRPr="003F67FE">
        <w:rPr>
          <w:rFonts w:ascii="Arial" w:eastAsia="Times New Roman" w:hAnsi="Arial" w:cs="Arial"/>
          <w:b/>
          <w:bCs/>
          <w:color w:val="333333"/>
          <w:sz w:val="24"/>
          <w:szCs w:val="24"/>
        </w:rPr>
        <w:t>1.</w:t>
      </w:r>
      <w:r w:rsidRPr="003F67FE">
        <w:rPr>
          <w:rFonts w:ascii="Arial" w:eastAsia="Times New Roman" w:hAnsi="Arial" w:cs="Arial"/>
          <w:color w:val="333333"/>
          <w:sz w:val="24"/>
          <w:szCs w:val="24"/>
        </w:rPr>
        <w:t> Declararea tuturor bunurilor deţinute, iar dacă acestea duc la excluderea dreptului nu se mai depune depune cererea pentru acordarea dreptului – vezi anexa cu bunuri care duc la excluderea acordării ajutorului social</w:t>
      </w:r>
      <w:r w:rsidRPr="003F67FE">
        <w:rPr>
          <w:rFonts w:ascii="Arial" w:eastAsia="Times New Roman" w:hAnsi="Arial" w:cs="Arial"/>
          <w:color w:val="333333"/>
          <w:sz w:val="18"/>
          <w:szCs w:val="18"/>
        </w:rPr>
        <w:br/>
      </w:r>
      <w:r w:rsidRPr="003F67FE">
        <w:rPr>
          <w:rFonts w:ascii="Arial" w:eastAsia="Times New Roman" w:hAnsi="Arial" w:cs="Arial"/>
          <w:b/>
          <w:bCs/>
          <w:color w:val="333333"/>
          <w:sz w:val="24"/>
          <w:szCs w:val="24"/>
        </w:rPr>
        <w:t>2.</w:t>
      </w:r>
      <w:r w:rsidRPr="003F67FE">
        <w:rPr>
          <w:rFonts w:ascii="Arial" w:eastAsia="Times New Roman" w:hAnsi="Arial" w:cs="Arial"/>
          <w:color w:val="333333"/>
          <w:sz w:val="24"/>
          <w:szCs w:val="24"/>
        </w:rPr>
        <w:t> Comunicarea în scris a modificărilor cu privire la componenţa familiei, se completează formularul de cerere prevăzut la anexa nr. 1a la normele metodologice;</w:t>
      </w:r>
      <w:r w:rsidRPr="003F67FE">
        <w:rPr>
          <w:rFonts w:ascii="Arial" w:eastAsia="Times New Roman" w:hAnsi="Arial" w:cs="Arial"/>
          <w:color w:val="333333"/>
          <w:sz w:val="18"/>
          <w:szCs w:val="18"/>
        </w:rPr>
        <w:br/>
      </w:r>
      <w:r w:rsidRPr="003F67FE">
        <w:rPr>
          <w:rFonts w:ascii="Arial" w:eastAsia="Times New Roman" w:hAnsi="Arial" w:cs="Arial"/>
          <w:b/>
          <w:bCs/>
          <w:color w:val="333333"/>
          <w:sz w:val="24"/>
          <w:szCs w:val="24"/>
        </w:rPr>
        <w:t>3.</w:t>
      </w:r>
      <w:r w:rsidRPr="003F67FE">
        <w:rPr>
          <w:rFonts w:ascii="Arial" w:eastAsia="Times New Roman" w:hAnsi="Arial" w:cs="Arial"/>
          <w:color w:val="333333"/>
          <w:sz w:val="24"/>
          <w:szCs w:val="24"/>
        </w:rPr>
        <w:t xml:space="preserve"> Comunicarea în scris a modificărilor veniturilor realizate de membrii acesteia, se completează formularul de cerere prevăzut la anexa nr. 1a la normele metodologice, însoţit de actele justificative noi, la sediul </w:t>
      </w:r>
      <w:r w:rsidR="00091434">
        <w:rPr>
          <w:rFonts w:ascii="Arial" w:eastAsia="Times New Roman" w:hAnsi="Arial" w:cs="Arial"/>
          <w:color w:val="333333"/>
          <w:sz w:val="24"/>
          <w:szCs w:val="24"/>
          <w:lang w:val="ro-RO"/>
        </w:rPr>
        <w:t>UAT MĂRGINENI</w:t>
      </w:r>
      <w:r w:rsidRPr="003F67FE">
        <w:rPr>
          <w:rFonts w:ascii="Arial" w:eastAsia="Times New Roman" w:hAnsi="Arial" w:cs="Arial"/>
          <w:color w:val="333333"/>
          <w:sz w:val="24"/>
          <w:szCs w:val="24"/>
        </w:rPr>
        <w:t>.</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Această obligaţie este imperativă, neîndeplinirea ei ducând la recuperarea în totalitate a ajutorului acordat, începând cu luna următoare producerii modificării.</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 Nedeclararea corectă a componeneţei familiei/a veniturilor familiei/ a deţinerii de bunuri aflate în lista bunurilor care duc la neacordarea ajutorului reprezintă infracţiune şi va fi în mod obligatoriu sesizată organelor de urmărire penală.</w:t>
      </w:r>
    </w:p>
    <w:p w14:paraId="2C834437" w14:textId="77777777" w:rsidR="006505C9" w:rsidRPr="003F67FE" w:rsidRDefault="006505C9" w:rsidP="00091434">
      <w:pPr>
        <w:shd w:val="clear" w:color="auto" w:fill="EFEFF1"/>
        <w:spacing w:before="120" w:after="120" w:line="270" w:lineRule="atLeast"/>
        <w:rPr>
          <w:rFonts w:ascii="Arial" w:eastAsia="Times New Roman" w:hAnsi="Arial" w:cs="Arial"/>
          <w:color w:val="333333"/>
          <w:sz w:val="18"/>
          <w:szCs w:val="18"/>
        </w:rPr>
      </w:pPr>
      <w:r w:rsidRPr="003F67FE">
        <w:rPr>
          <w:rFonts w:ascii="Arial" w:eastAsia="Times New Roman" w:hAnsi="Arial" w:cs="Arial"/>
          <w:b/>
          <w:bCs/>
          <w:color w:val="333333"/>
          <w:sz w:val="24"/>
          <w:szCs w:val="24"/>
        </w:rPr>
        <w:t>Recuperarea sumelor încasate necuvenit,</w:t>
      </w:r>
      <w:r w:rsidRPr="003F67FE">
        <w:rPr>
          <w:rFonts w:ascii="Arial" w:eastAsia="Times New Roman" w:hAnsi="Arial" w:cs="Arial"/>
          <w:color w:val="333333"/>
          <w:sz w:val="24"/>
          <w:szCs w:val="24"/>
        </w:rPr>
        <w:t> cu titlu de ajutor pentru încălzirea locuinței, plătite din bugetul de stat, se realizează în condițiile prevăzute de art. 21 din Legea nr. 416/2001 privind venitul minim garantat, cu modificările și completările ulterioare precum și de Ordonanța de urgență a Guvernului nr.44/2014 pentru reglementarea unor măsuri privind recuperarea debitelor pentru beneficiile de asistenţă socială, aprobată cu modificări prin Legea nr. 266/2015 precum şi pentru modificarea art. 101 din Legea nr. 448/2006 privind protecţia şi promovarea drepturilor persoanelor cu handicap, cu modificările și completările ulterioare.</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În situaţia în care </w:t>
      </w:r>
      <w:r w:rsidRPr="003F67FE">
        <w:rPr>
          <w:rFonts w:ascii="Arial" w:eastAsia="Times New Roman" w:hAnsi="Arial" w:cs="Arial"/>
          <w:b/>
          <w:bCs/>
          <w:color w:val="333333"/>
          <w:sz w:val="24"/>
          <w:szCs w:val="24"/>
        </w:rPr>
        <w:t>beneficiarul ajutorului pentru încălzirea locuinței este familia</w:t>
      </w:r>
      <w:r w:rsidRPr="003F67FE">
        <w:rPr>
          <w:rFonts w:ascii="Arial" w:eastAsia="Times New Roman" w:hAnsi="Arial" w:cs="Arial"/>
          <w:color w:val="333333"/>
          <w:sz w:val="24"/>
          <w:szCs w:val="24"/>
        </w:rPr>
        <w:t>, iar titularul ajutorului pentru încălzirea locuinței a decedat, recuperarea sumelor încasate necuvenit cu titlu de ajutor pentru încălzirea locuinței, se va face de la ceilalţi membri ai familiei cu capacitate de exercițiu deplină a drepturilor civile, în calitate de beneficiari ai dreptului, cu aplicarea corespunzătoare a prevederilor alin. (1).</w:t>
      </w:r>
      <w:r w:rsidRPr="003F67FE">
        <w:rPr>
          <w:rFonts w:ascii="Arial" w:eastAsia="Times New Roman" w:hAnsi="Arial" w:cs="Arial"/>
          <w:color w:val="333333"/>
          <w:sz w:val="18"/>
          <w:szCs w:val="18"/>
        </w:rPr>
        <w:br/>
      </w:r>
      <w:r w:rsidRPr="003F67FE">
        <w:rPr>
          <w:rFonts w:ascii="Arial" w:eastAsia="Times New Roman" w:hAnsi="Arial" w:cs="Arial"/>
          <w:color w:val="333333"/>
          <w:sz w:val="24"/>
          <w:szCs w:val="24"/>
        </w:rPr>
        <w:t>În situaţia în care</w:t>
      </w:r>
      <w:r w:rsidRPr="003F67FE">
        <w:rPr>
          <w:rFonts w:ascii="Arial" w:eastAsia="Times New Roman" w:hAnsi="Arial" w:cs="Arial"/>
          <w:b/>
          <w:bCs/>
          <w:color w:val="333333"/>
          <w:sz w:val="24"/>
          <w:szCs w:val="24"/>
        </w:rPr>
        <w:t> beneficiarul, persoană singură, a decedat</w:t>
      </w:r>
      <w:r w:rsidRPr="003F67FE">
        <w:rPr>
          <w:rFonts w:ascii="Arial" w:eastAsia="Times New Roman" w:hAnsi="Arial" w:cs="Arial"/>
          <w:color w:val="333333"/>
          <w:sz w:val="24"/>
          <w:szCs w:val="24"/>
        </w:rPr>
        <w:t>, nu se mai procedează la recuperarea sumelor încasate necuvenit.”</w:t>
      </w:r>
    </w:p>
    <w:p w14:paraId="42DCBC89" w14:textId="77777777" w:rsidR="006505C9" w:rsidRPr="003F67FE" w:rsidRDefault="006505C9" w:rsidP="006505C9">
      <w:pPr>
        <w:shd w:val="clear" w:color="auto" w:fill="EFEFF1"/>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b/>
          <w:bCs/>
          <w:color w:val="333333"/>
          <w:sz w:val="24"/>
          <w:szCs w:val="24"/>
        </w:rPr>
        <w:t>LISTA BUNURILOR ce conduc la excluderea acordării alocaţiei pentru susţinerea familiei/ajutorului social</w:t>
      </w:r>
    </w:p>
    <w:tbl>
      <w:tblPr>
        <w:tblW w:w="8430" w:type="dxa"/>
        <w:jc w:val="center"/>
        <w:tblBorders>
          <w:top w:val="outset" w:sz="6" w:space="0" w:color="auto"/>
          <w:left w:val="outset" w:sz="6" w:space="0" w:color="auto"/>
          <w:bottom w:val="outset" w:sz="6" w:space="0" w:color="auto"/>
          <w:right w:val="outset" w:sz="6" w:space="0" w:color="auto"/>
        </w:tblBorders>
        <w:shd w:val="clear" w:color="auto" w:fill="EFEFF1"/>
        <w:tblCellMar>
          <w:left w:w="0" w:type="dxa"/>
          <w:right w:w="0" w:type="dxa"/>
        </w:tblCellMar>
        <w:tblLook w:val="04A0" w:firstRow="1" w:lastRow="0" w:firstColumn="1" w:lastColumn="0" w:noHBand="0" w:noVBand="1"/>
      </w:tblPr>
      <w:tblGrid>
        <w:gridCol w:w="337"/>
        <w:gridCol w:w="8093"/>
      </w:tblGrid>
      <w:tr w:rsidR="006505C9" w:rsidRPr="003F67FE" w14:paraId="26AEB55C" w14:textId="77777777" w:rsidTr="00966F00">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939BA59"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b/>
                <w:bCs/>
                <w:color w:val="333333"/>
                <w:sz w:val="24"/>
                <w:szCs w:val="24"/>
              </w:rPr>
              <w:t>Bunuri imobile</w:t>
            </w:r>
          </w:p>
        </w:tc>
      </w:tr>
      <w:tr w:rsidR="006505C9" w:rsidRPr="003F67FE" w14:paraId="0593D3CA"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7059C6"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30C21E" w14:textId="77777777" w:rsidR="006505C9" w:rsidRPr="003F67FE" w:rsidRDefault="006505C9" w:rsidP="00966F00">
            <w:pPr>
              <w:spacing w:before="120" w:after="120" w:line="270" w:lineRule="atLeast"/>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Clădiri  sau alte spaţii locative în afara locuinţei de domiciliu şi a anexelor gospodăreşti</w:t>
            </w:r>
          </w:p>
        </w:tc>
      </w:tr>
      <w:tr w:rsidR="006505C9" w:rsidRPr="003F67FE" w14:paraId="2AA76422"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30AC86"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2.</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5756BD" w14:textId="77777777" w:rsidR="006505C9" w:rsidRPr="003F67FE" w:rsidRDefault="006505C9" w:rsidP="00966F00">
            <w:pPr>
              <w:spacing w:before="120" w:after="120" w:line="270" w:lineRule="atLeast"/>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Terenuri de împrejmuire a locuinţei şi curtea aferentă şi alte terenuri intravilane care          depăşesc 1.000 mp în zona urbană şi 2.000 mp în zona rurală</w:t>
            </w:r>
          </w:p>
        </w:tc>
      </w:tr>
      <w:tr w:rsidR="006505C9" w:rsidRPr="003F67FE" w14:paraId="450682AB" w14:textId="77777777" w:rsidTr="00966F00">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2B92D29"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b/>
                <w:bCs/>
                <w:color w:val="333333"/>
                <w:sz w:val="24"/>
                <w:szCs w:val="24"/>
              </w:rPr>
              <w:t>Bunuri mobile*</w:t>
            </w:r>
          </w:p>
        </w:tc>
      </w:tr>
      <w:tr w:rsidR="006505C9" w:rsidRPr="003F67FE" w14:paraId="259B5676"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FAEDE"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Arial" w:eastAsia="Times New Roman" w:hAnsi="Arial" w:cs="Arial"/>
                <w:color w:val="333333"/>
                <w:sz w:val="18"/>
                <w:szCs w:val="18"/>
              </w:rPr>
              <w:t> </w:t>
            </w:r>
            <w:r w:rsidRPr="003F67FE">
              <w:rPr>
                <w:rFonts w:ascii="Times New Roman" w:eastAsia="Times New Roman" w:hAnsi="Times New Roman" w:cs="Times New Roman"/>
                <w:color w:val="333333"/>
                <w:sz w:val="24"/>
                <w:szCs w:val="24"/>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743ED6"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xml:space="preserve"> Autoturism/Autoturisme şi/sau motocicletă/motociclete cu o vechime mai mică de 10 ani,  cu excepţia celor adaptate pentru persoanele cu handicap ori destinate </w:t>
            </w:r>
            <w:r w:rsidRPr="003F67FE">
              <w:rPr>
                <w:rFonts w:ascii="Times New Roman" w:eastAsia="Times New Roman" w:hAnsi="Times New Roman" w:cs="Times New Roman"/>
                <w:color w:val="333333"/>
                <w:sz w:val="24"/>
                <w:szCs w:val="24"/>
              </w:rPr>
              <w:lastRenderedPageBreak/>
              <w:t>transportului acestora sau persoanelor dependente, precum şi pentru uzul persoanelor aflate în zone greu accesibile</w:t>
            </w:r>
          </w:p>
        </w:tc>
      </w:tr>
      <w:tr w:rsidR="006505C9" w:rsidRPr="003F67FE" w14:paraId="72D8721B"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50A19E"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lastRenderedPageBreak/>
              <w:t>  2.</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54FF71"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Mai mult de un autoturism/motocicletă cu o vechime mai mare de 10 ani</w:t>
            </w:r>
          </w:p>
        </w:tc>
      </w:tr>
      <w:tr w:rsidR="006505C9" w:rsidRPr="003F67FE" w14:paraId="575E57D4"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9E70C3"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3.</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58EBE3" w14:textId="77777777" w:rsidR="006505C9" w:rsidRPr="003F67FE" w:rsidRDefault="006505C9" w:rsidP="00966F00">
            <w:pPr>
              <w:spacing w:before="120" w:after="120" w:line="270" w:lineRule="atLeast"/>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Autovehicule: autoutilitare, autocamioane de orice fel cu sau fără remorci, rulote, autobuze, microbuze</w:t>
            </w:r>
          </w:p>
        </w:tc>
      </w:tr>
      <w:tr w:rsidR="006505C9" w:rsidRPr="003F67FE" w14:paraId="5800AFCB"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5C3D4D"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4.</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A89248"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Şalupe, bărci cu motor, scutere de apă, iahturi, cu excepţia bărcilor necesare pentru uzul persoanelor care locuiesc în Rezervaţia Biosferei „Delta Dunării“</w:t>
            </w:r>
          </w:p>
        </w:tc>
      </w:tr>
      <w:tr w:rsidR="006505C9" w:rsidRPr="003F67FE" w14:paraId="42745E72"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64DE35"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5.</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AD5A78"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Utilaje agricole: tractor, combină autopropulsată</w:t>
            </w:r>
          </w:p>
        </w:tc>
      </w:tr>
      <w:tr w:rsidR="006505C9" w:rsidRPr="003F67FE" w14:paraId="74B039DA"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5825BE"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6.</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AC93D6"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Utilaje de prelucrarea gricolă: presă de ulei, moară de cereale</w:t>
            </w:r>
          </w:p>
        </w:tc>
      </w:tr>
      <w:tr w:rsidR="006505C9" w:rsidRPr="003F67FE" w14:paraId="2A92DD99"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A85A7B"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7.</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A3E4F3"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Utilaje de prelucrat lemnul: gater sau alte utilaje de prelucrat lemnul acţionate hidraulic, mecanic sau electric</w:t>
            </w:r>
          </w:p>
        </w:tc>
      </w:tr>
      <w:tr w:rsidR="006505C9" w:rsidRPr="003F67FE" w14:paraId="03B1A153" w14:textId="77777777" w:rsidTr="00966F00">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F4C0D93"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 Aflate în stare de funcţionare</w:t>
            </w:r>
          </w:p>
        </w:tc>
      </w:tr>
      <w:tr w:rsidR="006505C9" w:rsidRPr="003F67FE" w14:paraId="5A651449" w14:textId="77777777" w:rsidTr="00966F00">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86B1F0"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b/>
                <w:bCs/>
                <w:color w:val="333333"/>
                <w:sz w:val="24"/>
                <w:szCs w:val="24"/>
              </w:rPr>
              <w:t>Depozite bancare</w:t>
            </w:r>
          </w:p>
        </w:tc>
      </w:tr>
      <w:tr w:rsidR="006505C9" w:rsidRPr="003F67FE" w14:paraId="00A08F75"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C81506"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DB8597"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Depozite bancare cu valoare de peste 3.000 lei</w:t>
            </w:r>
          </w:p>
        </w:tc>
      </w:tr>
      <w:tr w:rsidR="006505C9" w:rsidRPr="003F67FE" w14:paraId="2920610A" w14:textId="77777777" w:rsidTr="00966F00">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AAC2551"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b/>
                <w:bCs/>
                <w:color w:val="333333"/>
                <w:sz w:val="24"/>
                <w:szCs w:val="24"/>
              </w:rPr>
              <w:t>Terenuri/animale şi/sau păsări</w:t>
            </w:r>
          </w:p>
        </w:tc>
      </w:tr>
      <w:tr w:rsidR="006505C9" w:rsidRPr="003F67FE" w14:paraId="47723AAB" w14:textId="77777777" w:rsidTr="00966F00">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378832" w14:textId="77777777" w:rsidR="006505C9" w:rsidRPr="003F67FE" w:rsidRDefault="006505C9" w:rsidP="00966F00">
            <w:pPr>
              <w:spacing w:before="120" w:after="120" w:line="270" w:lineRule="atLeast"/>
              <w:jc w:val="center"/>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70DA45" w14:textId="77777777" w:rsidR="006505C9" w:rsidRPr="003F67FE" w:rsidRDefault="006505C9" w:rsidP="00966F00">
            <w:pPr>
              <w:spacing w:before="120" w:after="120" w:line="270" w:lineRule="atLeast"/>
              <w:jc w:val="both"/>
              <w:rPr>
                <w:rFonts w:ascii="Arial" w:eastAsia="Times New Roman" w:hAnsi="Arial" w:cs="Arial"/>
                <w:color w:val="333333"/>
                <w:sz w:val="18"/>
                <w:szCs w:val="18"/>
              </w:rPr>
            </w:pPr>
            <w:r w:rsidRPr="003F67FE">
              <w:rPr>
                <w:rFonts w:ascii="Times New Roman" w:eastAsia="Times New Roman" w:hAnsi="Times New Roman" w:cs="Times New Roman"/>
                <w:color w:val="333333"/>
                <w:sz w:val="24"/>
                <w:szCs w:val="24"/>
              </w:rPr>
              <w:t> Suprafeţe de teren extravilan, animale şi păsări a căror valoare netă de producţie anuală depăşeşte suma de 1.000 euro pentru persoana singură, respective suma de 2.500 euro pentru familie</w:t>
            </w:r>
          </w:p>
        </w:tc>
      </w:tr>
    </w:tbl>
    <w:p w14:paraId="04419568" w14:textId="77777777" w:rsidR="006505C9" w:rsidRPr="003F67FE" w:rsidRDefault="006505C9" w:rsidP="006505C9">
      <w:pPr>
        <w:shd w:val="clear" w:color="auto" w:fill="EFEFF1"/>
        <w:spacing w:before="120" w:after="120" w:line="270" w:lineRule="atLeast"/>
        <w:jc w:val="both"/>
        <w:rPr>
          <w:rFonts w:ascii="Arial" w:eastAsia="Times New Roman" w:hAnsi="Arial" w:cs="Arial"/>
          <w:color w:val="333333"/>
          <w:sz w:val="18"/>
          <w:szCs w:val="18"/>
        </w:rPr>
      </w:pPr>
      <w:r w:rsidRPr="003F67FE">
        <w:rPr>
          <w:rFonts w:ascii="Arial" w:eastAsia="Times New Roman" w:hAnsi="Arial" w:cs="Arial"/>
          <w:color w:val="333333"/>
          <w:sz w:val="18"/>
          <w:szCs w:val="18"/>
        </w:rPr>
        <w:t> </w:t>
      </w:r>
      <w:r w:rsidRPr="003F67FE">
        <w:rPr>
          <w:rFonts w:ascii="Arial" w:eastAsia="Times New Roman" w:hAnsi="Arial" w:cs="Arial"/>
          <w:color w:val="333333"/>
          <w:sz w:val="24"/>
          <w:szCs w:val="24"/>
        </w:rPr>
        <w:t> NOTĂ: Deţinerea unuia dintre bunurile menţionate conduce la excluderea acordării ajutorului pentru incălzirea locuinţei</w:t>
      </w:r>
    </w:p>
    <w:p w14:paraId="630D5DBE" w14:textId="77777777" w:rsidR="006505C9" w:rsidRDefault="006505C9" w:rsidP="006505C9"/>
    <w:p w14:paraId="6801A049" w14:textId="77777777" w:rsidR="00920910" w:rsidRDefault="00920910"/>
    <w:sectPr w:rsidR="00920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C9"/>
    <w:rsid w:val="00091434"/>
    <w:rsid w:val="006505C9"/>
    <w:rsid w:val="00920910"/>
    <w:rsid w:val="009675D2"/>
    <w:rsid w:val="00E94E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1988"/>
  <w15:chartTrackingRefBased/>
  <w15:docId w15:val="{76FD25C4-999C-43DA-AF12-D872180D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C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dac-iasi.ro/file/legislatie/Cerere_incalzire_Anexa_nr_1_persoane_fara_vmg.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Ianau</dc:creator>
  <cp:keywords/>
  <dc:description/>
  <cp:lastModifiedBy>Maria Ianau</cp:lastModifiedBy>
  <cp:revision>4</cp:revision>
  <dcterms:created xsi:type="dcterms:W3CDTF">2022-09-15T05:51:00Z</dcterms:created>
  <dcterms:modified xsi:type="dcterms:W3CDTF">2022-09-16T06:59:00Z</dcterms:modified>
</cp:coreProperties>
</file>